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55"/>
        <w:tblW w:w="9068" w:type="dxa"/>
        <w:tblLook w:val="04A0" w:firstRow="1" w:lastRow="0" w:firstColumn="1" w:lastColumn="0" w:noHBand="0" w:noVBand="1"/>
      </w:tblPr>
      <w:tblGrid>
        <w:gridCol w:w="1555"/>
        <w:gridCol w:w="5108"/>
        <w:gridCol w:w="1107"/>
        <w:gridCol w:w="1298"/>
      </w:tblGrid>
      <w:tr w:rsidR="00B0298C" w:rsidRPr="000A3E2F" w14:paraId="1B69B03F" w14:textId="77777777" w:rsidTr="00B0298C">
        <w:tc>
          <w:tcPr>
            <w:tcW w:w="1555" w:type="dxa"/>
          </w:tcPr>
          <w:p w14:paraId="2A164BE3" w14:textId="77777777" w:rsidR="00B0298C" w:rsidRPr="000A3E2F" w:rsidRDefault="00B0298C" w:rsidP="00B0298C">
            <w:pPr>
              <w:rPr>
                <w:b/>
              </w:rPr>
            </w:pPr>
            <w:bookmarkStart w:id="0" w:name="_GoBack"/>
            <w:bookmarkEnd w:id="0"/>
            <w:r w:rsidRPr="000A3E2F">
              <w:rPr>
                <w:b/>
              </w:rPr>
              <w:t>Objet :</w:t>
            </w:r>
          </w:p>
        </w:tc>
        <w:tc>
          <w:tcPr>
            <w:tcW w:w="5108" w:type="dxa"/>
          </w:tcPr>
          <w:p w14:paraId="3469FA9D" w14:textId="77777777" w:rsidR="00B0298C" w:rsidRPr="000A3E2F" w:rsidRDefault="00B0298C" w:rsidP="00B0298C">
            <w:pPr>
              <w:rPr>
                <w:b/>
              </w:rPr>
            </w:pPr>
            <w:r>
              <w:rPr>
                <w:b/>
              </w:rPr>
              <w:t>COVID-19 – CR de la réunion d’information</w:t>
            </w:r>
          </w:p>
        </w:tc>
        <w:tc>
          <w:tcPr>
            <w:tcW w:w="1107" w:type="dxa"/>
          </w:tcPr>
          <w:p w14:paraId="60C026E2" w14:textId="77777777" w:rsidR="00B0298C" w:rsidRPr="000A3E2F" w:rsidRDefault="00B0298C" w:rsidP="00B0298C">
            <w:pPr>
              <w:rPr>
                <w:b/>
              </w:rPr>
            </w:pPr>
            <w:r w:rsidRPr="000A3E2F">
              <w:rPr>
                <w:b/>
              </w:rPr>
              <w:t>Date :</w:t>
            </w:r>
          </w:p>
        </w:tc>
        <w:tc>
          <w:tcPr>
            <w:tcW w:w="1298" w:type="dxa"/>
          </w:tcPr>
          <w:p w14:paraId="46A0A1BD" w14:textId="086D4C6D" w:rsidR="00B0298C" w:rsidRPr="000A3E2F" w:rsidRDefault="00A258FD" w:rsidP="00B0298C">
            <w:pPr>
              <w:rPr>
                <w:b/>
              </w:rPr>
            </w:pPr>
            <w:r>
              <w:rPr>
                <w:b/>
              </w:rPr>
              <w:t>10</w:t>
            </w:r>
            <w:r w:rsidR="00EE2081">
              <w:rPr>
                <w:b/>
              </w:rPr>
              <w:t>/04</w:t>
            </w:r>
            <w:r w:rsidR="00B0298C" w:rsidRPr="000A3E2F">
              <w:rPr>
                <w:b/>
              </w:rPr>
              <w:t>/2020</w:t>
            </w:r>
          </w:p>
        </w:tc>
      </w:tr>
      <w:tr w:rsidR="00B0298C" w:rsidRPr="000A3E2F" w14:paraId="7F9B6615" w14:textId="77777777" w:rsidTr="00B0298C">
        <w:tc>
          <w:tcPr>
            <w:tcW w:w="1555" w:type="dxa"/>
          </w:tcPr>
          <w:p w14:paraId="409B1988" w14:textId="77777777" w:rsidR="00B0298C" w:rsidRPr="000A3E2F" w:rsidRDefault="00B0298C" w:rsidP="00B0298C">
            <w:pPr>
              <w:rPr>
                <w:b/>
              </w:rPr>
            </w:pPr>
            <w:r w:rsidRPr="000A3E2F">
              <w:rPr>
                <w:b/>
              </w:rPr>
              <w:t>Présidence :</w:t>
            </w:r>
          </w:p>
        </w:tc>
        <w:tc>
          <w:tcPr>
            <w:tcW w:w="5108" w:type="dxa"/>
          </w:tcPr>
          <w:p w14:paraId="192F5C89" w14:textId="77777777" w:rsidR="00B0298C" w:rsidRPr="000A3E2F" w:rsidRDefault="00B0298C" w:rsidP="00B0298C">
            <w:pPr>
              <w:rPr>
                <w:b/>
              </w:rPr>
            </w:pPr>
            <w:r w:rsidRPr="000A3E2F">
              <w:rPr>
                <w:b/>
              </w:rPr>
              <w:t>Secrétaire Général</w:t>
            </w:r>
          </w:p>
        </w:tc>
        <w:tc>
          <w:tcPr>
            <w:tcW w:w="1107" w:type="dxa"/>
          </w:tcPr>
          <w:p w14:paraId="48FDBD59" w14:textId="77777777" w:rsidR="00B0298C" w:rsidRPr="000A3E2F" w:rsidRDefault="00B0298C" w:rsidP="00B0298C">
            <w:pPr>
              <w:rPr>
                <w:b/>
              </w:rPr>
            </w:pPr>
            <w:r w:rsidRPr="000A3E2F">
              <w:rPr>
                <w:b/>
              </w:rPr>
              <w:t>Pages :</w:t>
            </w:r>
          </w:p>
        </w:tc>
        <w:tc>
          <w:tcPr>
            <w:tcW w:w="1298" w:type="dxa"/>
          </w:tcPr>
          <w:p w14:paraId="4955E768" w14:textId="77777777" w:rsidR="00B0298C" w:rsidRPr="000A3E2F" w:rsidRDefault="00B0298C" w:rsidP="00B0298C">
            <w:pPr>
              <w:rPr>
                <w:b/>
              </w:rPr>
            </w:pPr>
            <w:r>
              <w:rPr>
                <w:b/>
              </w:rPr>
              <w:t>4</w:t>
            </w:r>
          </w:p>
        </w:tc>
      </w:tr>
      <w:tr w:rsidR="00B0298C" w:rsidRPr="000A3E2F" w14:paraId="3A42C0C6" w14:textId="77777777" w:rsidTr="00B0298C">
        <w:tc>
          <w:tcPr>
            <w:tcW w:w="1555" w:type="dxa"/>
          </w:tcPr>
          <w:p w14:paraId="07A823A7" w14:textId="77777777" w:rsidR="00B0298C" w:rsidRPr="000A3E2F" w:rsidRDefault="00B0298C" w:rsidP="00B0298C">
            <w:pPr>
              <w:rPr>
                <w:b/>
              </w:rPr>
            </w:pPr>
            <w:r w:rsidRPr="000A3E2F">
              <w:rPr>
                <w:b/>
              </w:rPr>
              <w:t>Présents</w:t>
            </w:r>
            <w:r>
              <w:rPr>
                <w:b/>
              </w:rPr>
              <w:t xml:space="preserve"> MI</w:t>
            </w:r>
            <w:r w:rsidRPr="000A3E2F">
              <w:rPr>
                <w:b/>
              </w:rPr>
              <w:t> :</w:t>
            </w:r>
          </w:p>
        </w:tc>
        <w:tc>
          <w:tcPr>
            <w:tcW w:w="5108" w:type="dxa"/>
          </w:tcPr>
          <w:p w14:paraId="586C600F" w14:textId="77777777" w:rsidR="00B0298C" w:rsidRDefault="00B0298C" w:rsidP="00B0298C">
            <w:pPr>
              <w:rPr>
                <w:b/>
              </w:rPr>
            </w:pPr>
            <w:r>
              <w:rPr>
                <w:b/>
              </w:rPr>
              <w:t>SG, DRH, DMAT, Organisations syndicales AC+PREF</w:t>
            </w:r>
          </w:p>
          <w:p w14:paraId="50AE0799" w14:textId="77777777" w:rsidR="00B0298C" w:rsidRPr="000A3E2F" w:rsidRDefault="00B0298C" w:rsidP="00B0298C">
            <w:pPr>
              <w:rPr>
                <w:b/>
              </w:rPr>
            </w:pPr>
          </w:p>
        </w:tc>
        <w:tc>
          <w:tcPr>
            <w:tcW w:w="1107" w:type="dxa"/>
          </w:tcPr>
          <w:p w14:paraId="3F6664DB" w14:textId="2A6469B6" w:rsidR="00B0298C" w:rsidRPr="000A3E2F" w:rsidRDefault="00B0298C" w:rsidP="00B0298C">
            <w:pPr>
              <w:rPr>
                <w:b/>
              </w:rPr>
            </w:pPr>
          </w:p>
        </w:tc>
        <w:tc>
          <w:tcPr>
            <w:tcW w:w="1298" w:type="dxa"/>
          </w:tcPr>
          <w:p w14:paraId="5637EB17" w14:textId="38453D5F" w:rsidR="00B0298C" w:rsidRPr="000A3E2F" w:rsidRDefault="00B0298C" w:rsidP="00B0298C">
            <w:pPr>
              <w:rPr>
                <w:b/>
              </w:rPr>
            </w:pPr>
          </w:p>
        </w:tc>
      </w:tr>
    </w:tbl>
    <w:p w14:paraId="5F6E92FC" w14:textId="77777777" w:rsidR="00A258FD" w:rsidRDefault="00A258FD" w:rsidP="00A258FD">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009BCAB" w14:textId="77777777" w:rsidR="00A258FD" w:rsidRPr="00A607E8" w:rsidRDefault="00A258FD" w:rsidP="00A258FD">
      <w:p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Le Secrétaire général a commencé la réunion hebdomadaire avec les représentants des organisations syndicales par le bilan des présences dans les services : </w:t>
      </w:r>
    </w:p>
    <w:p w14:paraId="0097C4EA" w14:textId="77777777" w:rsidR="00A258FD" w:rsidRPr="00A607E8" w:rsidRDefault="00A258FD" w:rsidP="00A258FD">
      <w:p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 pour les préfectures : 22 % des agents sont présents, 55 % mobilisés (en télétravail ou en travail à distance) et 23 % absents. 250 cas d’agents malades du </w:t>
      </w:r>
      <w:proofErr w:type="spellStart"/>
      <w:r w:rsidRPr="00A607E8">
        <w:rPr>
          <w:rFonts w:eastAsia="Times New Roman" w:cstheme="minorHAnsi"/>
          <w:lang w:eastAsia="fr-FR"/>
        </w:rPr>
        <w:t>Covid</w:t>
      </w:r>
      <w:proofErr w:type="spellEnd"/>
      <w:r w:rsidRPr="00A607E8">
        <w:rPr>
          <w:rFonts w:eastAsia="Times New Roman" w:cstheme="minorHAnsi"/>
          <w:lang w:eastAsia="fr-FR"/>
        </w:rPr>
        <w:t xml:space="preserve"> 19 ont été dénombrés.</w:t>
      </w:r>
    </w:p>
    <w:p w14:paraId="596A01D9" w14:textId="77777777" w:rsidR="00A258FD" w:rsidRPr="00A607E8" w:rsidRDefault="00A258FD" w:rsidP="00A258FD">
      <w:p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 pour les CERT : 18 % des agents sont présents, 43 % mobilisés et 39 % absents. </w:t>
      </w:r>
    </w:p>
    <w:p w14:paraId="52D5CE8E" w14:textId="77777777" w:rsidR="00A258FD" w:rsidRPr="00A607E8" w:rsidRDefault="00A258FD" w:rsidP="00A258FD">
      <w:p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pour les SGAMI : 21 % des agents sont présents, 53 % mobilisés et 26 % absents. 50 cas d’agents malades ont été dénombrés.</w:t>
      </w:r>
    </w:p>
    <w:p w14:paraId="6F61F207" w14:textId="1501BAB5" w:rsidR="00A258FD" w:rsidRPr="00A607E8" w:rsidRDefault="00A258FD" w:rsidP="00A258FD">
      <w:p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pour les directions départem</w:t>
      </w:r>
      <w:r w:rsidR="004E19B6" w:rsidRPr="00A607E8">
        <w:rPr>
          <w:rFonts w:eastAsia="Times New Roman" w:cstheme="minorHAnsi"/>
          <w:lang w:eastAsia="fr-FR"/>
        </w:rPr>
        <w:t>entales interministérielles : 12</w:t>
      </w:r>
      <w:r w:rsidR="00C53B3F" w:rsidRPr="00A607E8">
        <w:rPr>
          <w:rFonts w:eastAsia="Times New Roman" w:cstheme="minorHAnsi"/>
          <w:lang w:eastAsia="fr-FR"/>
        </w:rPr>
        <w:t xml:space="preserve"> %</w:t>
      </w:r>
      <w:r w:rsidR="004E19B6" w:rsidRPr="00A607E8">
        <w:rPr>
          <w:rFonts w:eastAsia="Times New Roman" w:cstheme="minorHAnsi"/>
          <w:lang w:eastAsia="fr-FR"/>
        </w:rPr>
        <w:t xml:space="preserve"> des agents sont présents, 65 </w:t>
      </w:r>
      <w:r w:rsidR="00A607E8" w:rsidRPr="00A607E8">
        <w:rPr>
          <w:rFonts w:eastAsia="Times New Roman" w:cstheme="minorHAnsi"/>
          <w:lang w:eastAsia="fr-FR"/>
        </w:rPr>
        <w:t>% </w:t>
      </w:r>
      <w:r w:rsidR="00A607E8">
        <w:rPr>
          <w:rFonts w:eastAsia="Times New Roman" w:cstheme="minorHAnsi"/>
          <w:lang w:eastAsia="fr-FR"/>
        </w:rPr>
        <w:t>mobilisés et 23</w:t>
      </w:r>
      <w:r w:rsidRPr="00A607E8">
        <w:rPr>
          <w:rFonts w:eastAsia="Times New Roman" w:cstheme="minorHAnsi"/>
          <w:lang w:eastAsia="fr-FR"/>
        </w:rPr>
        <w:t xml:space="preserve"> % absents. </w:t>
      </w:r>
    </w:p>
    <w:p w14:paraId="1B8EEB95" w14:textId="3024FED3" w:rsidR="00A258FD" w:rsidRPr="00A607E8" w:rsidRDefault="00A258FD" w:rsidP="00A258FD">
      <w:p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pour l’administration centrale </w:t>
      </w:r>
      <w:r w:rsidR="00285C5E" w:rsidRPr="00A607E8">
        <w:rPr>
          <w:rFonts w:eastAsia="Times New Roman" w:cstheme="minorHAnsi"/>
          <w:lang w:eastAsia="fr-FR"/>
        </w:rPr>
        <w:t>sur le périmètre secrétariat général : 7 % des agents sont présents, 65</w:t>
      </w:r>
      <w:r w:rsidRPr="00A607E8">
        <w:rPr>
          <w:rFonts w:eastAsia="Times New Roman" w:cstheme="minorHAnsi"/>
          <w:lang w:eastAsia="fr-FR"/>
        </w:rPr>
        <w:t xml:space="preserve"> % des agents sont mobilisés et </w:t>
      </w:r>
      <w:r w:rsidR="004E19B6" w:rsidRPr="00A607E8">
        <w:rPr>
          <w:rFonts w:eastAsia="Times New Roman" w:cstheme="minorHAnsi"/>
          <w:lang w:eastAsia="fr-FR"/>
        </w:rPr>
        <w:t>28</w:t>
      </w:r>
      <w:r w:rsidRPr="00A607E8">
        <w:rPr>
          <w:rFonts w:eastAsia="Times New Roman" w:cstheme="minorHAnsi"/>
          <w:lang w:eastAsia="fr-FR"/>
        </w:rPr>
        <w:t xml:space="preserve"> % absents. Une quarantaine d’agents malades du </w:t>
      </w:r>
      <w:proofErr w:type="spellStart"/>
      <w:r w:rsidRPr="00A607E8">
        <w:rPr>
          <w:rFonts w:eastAsia="Times New Roman" w:cstheme="minorHAnsi"/>
          <w:lang w:eastAsia="fr-FR"/>
        </w:rPr>
        <w:t>Covid</w:t>
      </w:r>
      <w:proofErr w:type="spellEnd"/>
      <w:r w:rsidRPr="00A607E8">
        <w:rPr>
          <w:rFonts w:eastAsia="Times New Roman" w:cstheme="minorHAnsi"/>
          <w:lang w:eastAsia="fr-FR"/>
        </w:rPr>
        <w:t xml:space="preserve"> 19 a été comptabilisé. </w:t>
      </w:r>
    </w:p>
    <w:p w14:paraId="54F0827A" w14:textId="77777777" w:rsidR="00A258FD" w:rsidRPr="00A607E8" w:rsidRDefault="00A258FD" w:rsidP="00A258FD">
      <w:p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Une demi-douzaine de membres du corps préfectoral sont également touchés (dont deux préfets et un sous-préfet). Il n’y a par contre aucun signalement mettant l’équipe départementale dans son ensemble dans l’incapacité de fonctionner. </w:t>
      </w:r>
    </w:p>
    <w:p w14:paraId="29CA69DF" w14:textId="77777777" w:rsidR="00A258FD" w:rsidRPr="00A607E8" w:rsidRDefault="00A258FD" w:rsidP="00A258FD">
      <w:p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Tous les mouvements de gestion du corps préfectoral ont été suspendus sauf pour les postes les plus sensibles restés vacants, pour lesquels les nominations se poursuivent. </w:t>
      </w:r>
    </w:p>
    <w:p w14:paraId="554C6AE6" w14:textId="77777777" w:rsidR="00A258FD" w:rsidRPr="00A607E8" w:rsidRDefault="00A258FD" w:rsidP="00A258FD">
      <w:p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En réponse aux questions des organisations syndicales, les points suivants ont été évoqués : </w:t>
      </w:r>
    </w:p>
    <w:p w14:paraId="6FADE00E" w14:textId="77777777" w:rsidR="00A258FD" w:rsidRPr="00A607E8" w:rsidRDefault="00A258FD" w:rsidP="00A258FD">
      <w:pPr>
        <w:pStyle w:val="Paragraphedeliste"/>
        <w:numPr>
          <w:ilvl w:val="0"/>
          <w:numId w:val="3"/>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Il y a une très forte baisse des demandes de titres dans les </w:t>
      </w:r>
      <w:r w:rsidRPr="00A607E8">
        <w:rPr>
          <w:rFonts w:eastAsia="Times New Roman" w:cstheme="minorHAnsi"/>
          <w:b/>
          <w:lang w:eastAsia="fr-FR"/>
        </w:rPr>
        <w:t>CERT</w:t>
      </w:r>
      <w:r w:rsidRPr="00A607E8">
        <w:rPr>
          <w:rFonts w:eastAsia="Times New Roman" w:cstheme="minorHAnsi"/>
          <w:lang w:eastAsia="fr-FR"/>
        </w:rPr>
        <w:t xml:space="preserve">. La diminution est intervenue un peu plus tardivement s’agissant des permis de conduire, sans doute parce que les auto-écoles ont transmis leurs stocks de dossiers d’inscription à l’examen. </w:t>
      </w:r>
    </w:p>
    <w:p w14:paraId="7C796581"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5837FFC5"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Il y a quelques centaines de demandes de </w:t>
      </w:r>
      <w:r w:rsidRPr="00A607E8">
        <w:rPr>
          <w:rFonts w:eastAsia="Times New Roman" w:cstheme="minorHAnsi"/>
          <w:b/>
          <w:lang w:eastAsia="fr-FR"/>
        </w:rPr>
        <w:t>passeports et de titres d’identité</w:t>
      </w:r>
      <w:r w:rsidRPr="00A607E8">
        <w:rPr>
          <w:rFonts w:eastAsia="Times New Roman" w:cstheme="minorHAnsi"/>
          <w:lang w:eastAsia="fr-FR"/>
        </w:rPr>
        <w:t xml:space="preserve"> transmis par jour seulement. Le flux à la sortie du confinement sera mécaniquement limité par la capacité des mairies à donner des rendez-vous pour recueillir les demandes de titres d’identité.    </w:t>
      </w:r>
    </w:p>
    <w:p w14:paraId="775C16C8" w14:textId="77777777" w:rsidR="00A258FD" w:rsidRPr="00A607E8" w:rsidRDefault="00A258FD" w:rsidP="00A258FD">
      <w:pPr>
        <w:spacing w:before="100" w:beforeAutospacing="1" w:after="100" w:afterAutospacing="1" w:line="240" w:lineRule="auto"/>
        <w:ind w:left="708"/>
        <w:jc w:val="both"/>
        <w:rPr>
          <w:rFonts w:eastAsia="Times New Roman" w:cstheme="minorHAnsi"/>
          <w:lang w:eastAsia="fr-FR"/>
        </w:rPr>
      </w:pPr>
      <w:r w:rsidRPr="00A607E8">
        <w:rPr>
          <w:rFonts w:eastAsia="Times New Roman" w:cstheme="minorHAnsi"/>
          <w:lang w:eastAsia="fr-FR"/>
        </w:rPr>
        <w:t xml:space="preserve">Pour les </w:t>
      </w:r>
      <w:r w:rsidRPr="00A607E8">
        <w:rPr>
          <w:rFonts w:eastAsia="Times New Roman" w:cstheme="minorHAnsi"/>
          <w:b/>
          <w:lang w:eastAsia="fr-FR"/>
        </w:rPr>
        <w:t>certificats d’immatriculation,</w:t>
      </w:r>
      <w:r w:rsidRPr="00A607E8">
        <w:rPr>
          <w:rFonts w:eastAsia="Times New Roman" w:cstheme="minorHAnsi"/>
          <w:lang w:eastAsia="fr-FR"/>
        </w:rPr>
        <w:t xml:space="preserve"> environ 30 000 nouvelles demandes sont comptabilisées (un tiers du volume habituel). Les stocks dans les CERT certificats d’immatriculation avant la pandémie étaient déjà à un niveau faible (110 000 demandes à traiter), et il n’a pas été constaté de déstockage de la part des professionnels de l’automobile. Ce sont essentiellement des transactions entre particuliers qui sont traitées ou des demandes de changement d’adresse. </w:t>
      </w:r>
    </w:p>
    <w:p w14:paraId="22E2FE47" w14:textId="77777777" w:rsidR="00A258FD" w:rsidRPr="00A607E8" w:rsidRDefault="00A258FD" w:rsidP="00A258FD">
      <w:pPr>
        <w:spacing w:before="100" w:beforeAutospacing="1" w:after="100" w:afterAutospacing="1" w:line="240" w:lineRule="auto"/>
        <w:ind w:left="708"/>
        <w:jc w:val="both"/>
        <w:rPr>
          <w:rFonts w:eastAsia="Times New Roman" w:cstheme="minorHAnsi"/>
          <w:lang w:eastAsia="fr-FR"/>
        </w:rPr>
      </w:pPr>
      <w:r w:rsidRPr="00A607E8">
        <w:rPr>
          <w:rFonts w:eastAsia="Times New Roman" w:cstheme="minorHAnsi"/>
          <w:lang w:eastAsia="fr-FR"/>
        </w:rPr>
        <w:lastRenderedPageBreak/>
        <w:t xml:space="preserve">Au total, le nombre d’ETP dans les CERT est de 93,4. Une trentaine d’agents est présent au CERT de Nantes. </w:t>
      </w:r>
    </w:p>
    <w:p w14:paraId="7941BAF0"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69AD7E86" w14:textId="77777777" w:rsidR="00A258FD" w:rsidRPr="00A607E8" w:rsidRDefault="00A258FD" w:rsidP="00A258FD">
      <w:pPr>
        <w:pStyle w:val="Paragraphedeliste"/>
        <w:numPr>
          <w:ilvl w:val="0"/>
          <w:numId w:val="3"/>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Dans certains départements, les agents ont été sollicités pour revenir, s’ils sont volontaires, ponctuellement sur site pour traiter les urgences et procéder à l’archivage de leur boîte de messagerie, source de lourdeurs pour les réseaux informatiques du ministère.  </w:t>
      </w:r>
    </w:p>
    <w:p w14:paraId="3FDBC5E7"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6D4405FB" w14:textId="737E17A9"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Une circulaire est en préparation sur la prise en charge des </w:t>
      </w:r>
      <w:r w:rsidRPr="00A607E8">
        <w:rPr>
          <w:rFonts w:eastAsia="Times New Roman" w:cstheme="minorHAnsi"/>
          <w:b/>
          <w:lang w:eastAsia="fr-FR"/>
        </w:rPr>
        <w:t>dépenses de restauration</w:t>
      </w:r>
      <w:r w:rsidRPr="00A607E8">
        <w:rPr>
          <w:rFonts w:eastAsia="Times New Roman" w:cstheme="minorHAnsi"/>
          <w:lang w:eastAsia="fr-FR"/>
        </w:rPr>
        <w:t xml:space="preserve"> suite au décret du 8 avril 2020, Trois conditions sont à réunir : avoir assuré la continuité du service (concrètement, être inscrit dans le plan de continuité d’activité), avoir travaillé en présentiel et ne pas avoir pu accéder à la restauration collective.</w:t>
      </w:r>
      <w:r w:rsidR="00A607E8" w:rsidRPr="00A607E8">
        <w:rPr>
          <w:rFonts w:eastAsia="Times New Roman" w:cstheme="minorHAnsi"/>
          <w:lang w:eastAsia="fr-FR"/>
        </w:rPr>
        <w:t xml:space="preserve"> Cette condition s’entend comme</w:t>
      </w:r>
      <w:r w:rsidRPr="00A607E8">
        <w:rPr>
          <w:rFonts w:eastAsia="Times New Roman" w:cstheme="minorHAnsi"/>
          <w:lang w:eastAsia="fr-FR"/>
        </w:rPr>
        <w:t xml:space="preserve"> ne pas avoir pu bénéficier d’une restauration collective à laquelle l’agent avait accès avant la crise. Les agents qui, avant la crise, ne bénéficiaient pas de restauration collective, ne pourront prétendre au remboursement des frais de restauration. Le Ministère de la fonction publique a précisé ce point. </w:t>
      </w:r>
    </w:p>
    <w:p w14:paraId="65A670EE"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La circulaire indiquera quelles seront les modalités d’application (pièces justificatives à fournir, circuit de paiement). La question des agents ne venant qu’une demi-journée est évoquée. Il est rappelé que pour l’administration centrale, la restauration collective reste assurée. </w:t>
      </w:r>
    </w:p>
    <w:p w14:paraId="3D475951"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753A3FC1" w14:textId="77777777"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Un appel à candidatures a été lancé par la préfecture de région Ile de France auprès des agents des préfectures d’Ile de France susceptibles d’apporter leur concours aux </w:t>
      </w:r>
      <w:r w:rsidRPr="00A607E8">
        <w:rPr>
          <w:rFonts w:eastAsia="Times New Roman" w:cstheme="minorHAnsi"/>
          <w:b/>
          <w:lang w:eastAsia="fr-FR"/>
        </w:rPr>
        <w:t>EHPAD</w:t>
      </w:r>
      <w:r w:rsidRPr="00A607E8">
        <w:rPr>
          <w:rFonts w:eastAsia="Times New Roman" w:cstheme="minorHAnsi"/>
          <w:lang w:eastAsia="fr-FR"/>
        </w:rPr>
        <w:t xml:space="preserve"> afin de porter appui sur des fonctions administratives. </w:t>
      </w:r>
    </w:p>
    <w:p w14:paraId="56ACCC51"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Juridiquement, les agents volontaires seront mis à disposition sur la base d’une convention (signée par l’agent), auprès de structures y compris privées. Le travail sera effectué soit en télétravail soit en présentiel, auquel cas il sera fourni aux agents les équipements de protection individuels nécessaires. L’agent pourra renoncer à tout moment à poursuivre sa mission.  Il sera adressé aux organisations syndicales la convention et la lettre de mission type des agents. Celles-ci ont également demandé à connaître la liste des EHPAD prioritaires. </w:t>
      </w:r>
    </w:p>
    <w:p w14:paraId="3E272D59"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182 fonctionnaires se sont portés candidats. Ils peuvent évidemment être conseillés dans cette démarche par le service de médecine de prévention. </w:t>
      </w:r>
    </w:p>
    <w:p w14:paraId="000374B8"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1FA171F7" w14:textId="77777777"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Une </w:t>
      </w:r>
      <w:r w:rsidRPr="00A607E8">
        <w:rPr>
          <w:rFonts w:eastAsia="Times New Roman" w:cstheme="minorHAnsi"/>
          <w:b/>
          <w:lang w:eastAsia="fr-FR"/>
        </w:rPr>
        <w:t>plate-forme de soutien psychologique</w:t>
      </w:r>
      <w:r w:rsidRPr="00A607E8">
        <w:rPr>
          <w:rFonts w:eastAsia="Times New Roman" w:cstheme="minorHAnsi"/>
          <w:lang w:eastAsia="fr-FR"/>
        </w:rPr>
        <w:t xml:space="preserve"> sera ouverte à tous les agents, d’administration centrale, de préfectures et sous-préfectures et des SGAMI. Elle sera mise en place pour trois mois. Le numéro d’appel sera gratuit, fonctionnant 7 jours sur 7 et 24 h sur 24. L’appel est anonyme.</w:t>
      </w:r>
    </w:p>
    <w:p w14:paraId="0F9DD046"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L’écoute sera assurée par un cabinet spécialisé PSYA composé de psychologues cliniciens, qui pourront réorienter l’agent si besoin vers des psychiatres pour une prise en charge plus lourde ou vers les réseaux de soutien du ministère. Des réunions de présentation du dispositif se tiendront d’ailleurs entre le cabinet PSYA, le service de médecine de prévention et le service social. </w:t>
      </w:r>
    </w:p>
    <w:p w14:paraId="344BCFEE"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Il y aura une communication à la fois à destination des agents et des managers. L’objectif est de diffuser le plus largement possible ce numéro, via les lettres d’information aux agents, la messagerie, les responsables de ressources humaines, les réseaux d’accompagnement des agents …</w:t>
      </w:r>
    </w:p>
    <w:p w14:paraId="5B74AC06"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25F83A1C" w14:textId="77777777"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Le ministre a adressé un courrier en vue de la reconnaissance </w:t>
      </w:r>
      <w:r w:rsidRPr="00A607E8">
        <w:rPr>
          <w:rFonts w:eastAsia="Times New Roman" w:cstheme="minorHAnsi"/>
          <w:b/>
          <w:lang w:eastAsia="fr-FR"/>
        </w:rPr>
        <w:t>d’imputabilité au service</w:t>
      </w:r>
      <w:r w:rsidRPr="00A607E8">
        <w:rPr>
          <w:rFonts w:eastAsia="Times New Roman" w:cstheme="minorHAnsi"/>
          <w:lang w:eastAsia="fr-FR"/>
        </w:rPr>
        <w:t xml:space="preserve"> du </w:t>
      </w:r>
      <w:proofErr w:type="spellStart"/>
      <w:r w:rsidRPr="00A607E8">
        <w:rPr>
          <w:rFonts w:eastAsia="Times New Roman" w:cstheme="minorHAnsi"/>
          <w:lang w:eastAsia="fr-FR"/>
        </w:rPr>
        <w:t>Covid</w:t>
      </w:r>
      <w:proofErr w:type="spellEnd"/>
      <w:r w:rsidRPr="00A607E8">
        <w:rPr>
          <w:rFonts w:eastAsia="Times New Roman" w:cstheme="minorHAnsi"/>
          <w:lang w:eastAsia="fr-FR"/>
        </w:rPr>
        <w:t xml:space="preserve"> 19 comme maladie professionnelle pour les agents y ayant été exposés de par leur activité professionnelle.</w:t>
      </w:r>
    </w:p>
    <w:p w14:paraId="3EDA10C0"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4EC161A7" w14:textId="576DA07D"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lastRenderedPageBreak/>
        <w:t xml:space="preserve">La </w:t>
      </w:r>
      <w:r w:rsidRPr="00A607E8">
        <w:rPr>
          <w:rFonts w:eastAsia="Times New Roman" w:cstheme="minorHAnsi"/>
          <w:b/>
          <w:lang w:eastAsia="fr-FR"/>
        </w:rPr>
        <w:t>foire aux questions</w:t>
      </w:r>
      <w:r w:rsidRPr="00A607E8">
        <w:rPr>
          <w:rFonts w:eastAsia="Times New Roman" w:cstheme="minorHAnsi"/>
          <w:lang w:eastAsia="fr-FR"/>
        </w:rPr>
        <w:t xml:space="preserve"> mise en ligne par la direction des ressources humaines indique qu’il</w:t>
      </w:r>
      <w:r w:rsidR="00C53B3F" w:rsidRPr="00A607E8">
        <w:rPr>
          <w:rFonts w:eastAsia="Times New Roman" w:cstheme="minorHAnsi"/>
          <w:lang w:eastAsia="fr-FR"/>
        </w:rPr>
        <w:t xml:space="preserve"> n’est pas souhaitable de mener</w:t>
      </w:r>
      <w:r w:rsidRPr="00A607E8">
        <w:rPr>
          <w:rFonts w:eastAsia="Times New Roman" w:cstheme="minorHAnsi"/>
          <w:lang w:eastAsia="fr-FR"/>
        </w:rPr>
        <w:t xml:space="preserve"> les entretiens d’évaluation actuellement, ni en présentiel ni par téléphone. </w:t>
      </w:r>
    </w:p>
    <w:p w14:paraId="6BCC1D94" w14:textId="77777777" w:rsidR="00A258FD" w:rsidRPr="00A607E8" w:rsidRDefault="00A258FD" w:rsidP="00A258FD">
      <w:pPr>
        <w:pStyle w:val="Paragraphedeliste"/>
        <w:rPr>
          <w:rFonts w:eastAsia="Times New Roman" w:cstheme="minorHAnsi"/>
          <w:lang w:eastAsia="fr-FR"/>
        </w:rPr>
      </w:pPr>
    </w:p>
    <w:p w14:paraId="1097B5C6" w14:textId="77777777"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La situation au regard des </w:t>
      </w:r>
      <w:r w:rsidRPr="00A607E8">
        <w:rPr>
          <w:rFonts w:eastAsia="Times New Roman" w:cstheme="minorHAnsi"/>
          <w:b/>
          <w:lang w:eastAsia="fr-FR"/>
        </w:rPr>
        <w:t>congés</w:t>
      </w:r>
      <w:r w:rsidRPr="00A607E8">
        <w:rPr>
          <w:rFonts w:eastAsia="Times New Roman" w:cstheme="minorHAnsi"/>
          <w:lang w:eastAsia="fr-FR"/>
        </w:rPr>
        <w:t xml:space="preserve"> déposés pendant la période de confinement a été précisée par la DGAFP.</w:t>
      </w:r>
    </w:p>
    <w:p w14:paraId="27251BE9"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Il est rappelé que les autorisations spéciales d’absence ne génèrent pas de jours ARTT. La possibilité de tenir compte de situations évolutives, où des agents initialement en ASA reviennent ensuite travailler ou </w:t>
      </w:r>
      <w:proofErr w:type="spellStart"/>
      <w:r w:rsidRPr="00A607E8">
        <w:rPr>
          <w:rFonts w:eastAsia="Times New Roman" w:cstheme="minorHAnsi"/>
          <w:lang w:eastAsia="fr-FR"/>
        </w:rPr>
        <w:t>télétravaillent</w:t>
      </w:r>
      <w:proofErr w:type="spellEnd"/>
      <w:r w:rsidRPr="00A607E8">
        <w:rPr>
          <w:rFonts w:eastAsia="Times New Roman" w:cstheme="minorHAnsi"/>
          <w:lang w:eastAsia="fr-FR"/>
        </w:rPr>
        <w:t xml:space="preserve"> deux jours par semaine, sera étudiée. </w:t>
      </w:r>
    </w:p>
    <w:p w14:paraId="55AC8F36" w14:textId="77777777" w:rsidR="00A258FD" w:rsidRPr="00A607E8" w:rsidRDefault="00A258FD" w:rsidP="00A258FD">
      <w:pPr>
        <w:pStyle w:val="Paragraphedeliste"/>
        <w:jc w:val="both"/>
        <w:rPr>
          <w:rFonts w:eastAsia="Times New Roman" w:cstheme="minorHAnsi"/>
          <w:lang w:eastAsia="fr-FR"/>
        </w:rPr>
      </w:pPr>
      <w:r w:rsidRPr="00A607E8">
        <w:rPr>
          <w:rFonts w:eastAsia="Times New Roman" w:cstheme="minorHAnsi"/>
          <w:lang w:eastAsia="fr-FR"/>
        </w:rPr>
        <w:t xml:space="preserve">Le Secrétaire général a indiqué que les conditions de prise des congés et les règles de plafonnement du compte épargne temps seront appelées à s’adapter à la situation particulière de cette année. </w:t>
      </w:r>
    </w:p>
    <w:p w14:paraId="57FEF517" w14:textId="77777777" w:rsidR="00A258FD" w:rsidRPr="00A607E8" w:rsidRDefault="00A258FD" w:rsidP="00A258FD">
      <w:pPr>
        <w:pStyle w:val="Paragraphedeliste"/>
        <w:rPr>
          <w:rFonts w:eastAsia="Times New Roman" w:cstheme="minorHAnsi"/>
          <w:lang w:eastAsia="fr-FR"/>
        </w:rPr>
      </w:pPr>
      <w:r w:rsidRPr="00A607E8">
        <w:rPr>
          <w:rFonts w:eastAsia="Times New Roman" w:cstheme="minorHAnsi"/>
          <w:lang w:eastAsia="fr-FR"/>
        </w:rPr>
        <w:t xml:space="preserve">L’indemnisation des jours CET habituellement réalisée au mois de juin sera reportée. </w:t>
      </w:r>
    </w:p>
    <w:p w14:paraId="6B0D5177"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Tous les services des SGAMI Ile de France ont été équipés de postes </w:t>
      </w:r>
      <w:proofErr w:type="spellStart"/>
      <w:r w:rsidRPr="00A607E8">
        <w:rPr>
          <w:rFonts w:eastAsia="Times New Roman" w:cstheme="minorHAnsi"/>
          <w:lang w:eastAsia="fr-FR"/>
        </w:rPr>
        <w:t>Noémi</w:t>
      </w:r>
      <w:proofErr w:type="spellEnd"/>
      <w:r w:rsidRPr="00A607E8">
        <w:rPr>
          <w:rFonts w:eastAsia="Times New Roman" w:cstheme="minorHAnsi"/>
          <w:lang w:eastAsia="fr-FR"/>
        </w:rPr>
        <w:t xml:space="preserve"> ou SPAN permettant l’accès à Dialogue 2.</w:t>
      </w:r>
    </w:p>
    <w:p w14:paraId="78FB2176"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553FA6F9" w14:textId="77777777"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Le Secrétaire général a indiqué qu’une réflexion avait commencé sur le fonctionnement </w:t>
      </w:r>
      <w:r w:rsidRPr="00A607E8">
        <w:rPr>
          <w:rFonts w:eastAsia="Times New Roman" w:cstheme="minorHAnsi"/>
          <w:b/>
          <w:lang w:eastAsia="fr-FR"/>
        </w:rPr>
        <w:t>post-confinement</w:t>
      </w:r>
      <w:r w:rsidRPr="00A607E8">
        <w:rPr>
          <w:rFonts w:eastAsia="Times New Roman" w:cstheme="minorHAnsi"/>
          <w:lang w:eastAsia="fr-FR"/>
        </w:rPr>
        <w:t xml:space="preserve"> des services, avec plusieurs scénarios possibles. Différents aspects sont à traiter pour une gestion dans la durée de cette crise : perspectives en matière budgétaires, évolutions des effectifs, définition d’une stratégie d’acquisition des matériels de protection, fixation des objectifs pour le second semestre.  </w:t>
      </w:r>
    </w:p>
    <w:p w14:paraId="05F58915"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3798B050"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4 millions de masques ont été reçus et ont été répartis par les SGAMI entre les services de police et de gendarmerie, les préfectures, les SDIS et les DDI. La DEPAFI a par ailleurs été chargée d’acquérir des masques en quantité suffisante pour l’avenir. </w:t>
      </w:r>
    </w:p>
    <w:p w14:paraId="77B0C40D"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535E2281" w14:textId="77777777"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La possibilité d’utiliser </w:t>
      </w:r>
      <w:r w:rsidRPr="00A607E8">
        <w:rPr>
          <w:rFonts w:eastAsia="Times New Roman" w:cstheme="minorHAnsi"/>
          <w:b/>
          <w:lang w:eastAsia="fr-FR"/>
        </w:rPr>
        <w:t>AGEDREF</w:t>
      </w:r>
      <w:r w:rsidRPr="00A607E8">
        <w:rPr>
          <w:rFonts w:eastAsia="Times New Roman" w:cstheme="minorHAnsi"/>
          <w:lang w:eastAsia="fr-FR"/>
        </w:rPr>
        <w:t xml:space="preserve"> en télétravail est exclue. Les éloignements d’étrangers en situation irrégulière sont suspendus, compte tenu de la difficulté d’obtenir des laissez-passer consulaires et de la situation des liaisons aériennes. La communication du plan de continuité d’activité de la sous-direction de la nationalité française a été demandée par les organisations syndicales.  </w:t>
      </w:r>
    </w:p>
    <w:p w14:paraId="5D5E8B66"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0F16AE69" w14:textId="77777777"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Pour les 130 sortants </w:t>
      </w:r>
      <w:r w:rsidRPr="00A607E8">
        <w:rPr>
          <w:rFonts w:eastAsia="Times New Roman" w:cstheme="minorHAnsi"/>
          <w:b/>
          <w:lang w:eastAsia="fr-FR"/>
        </w:rPr>
        <w:t>IRA</w:t>
      </w:r>
      <w:r w:rsidRPr="00A607E8">
        <w:rPr>
          <w:rFonts w:eastAsia="Times New Roman" w:cstheme="minorHAnsi"/>
          <w:lang w:eastAsia="fr-FR"/>
        </w:rPr>
        <w:t xml:space="preserve"> affectés au ministère de l’intérieur, un acompte sera mis en place, éventuellement avec des régularisations. Pour la trentaine de sortants IRA en administration centrale, les équipes de la DRH seront mobilisées. </w:t>
      </w:r>
    </w:p>
    <w:p w14:paraId="742DAA43" w14:textId="77777777" w:rsidR="00A258FD" w:rsidRPr="00A607E8" w:rsidRDefault="00A258FD" w:rsidP="00A258FD">
      <w:pPr>
        <w:pStyle w:val="Paragraphedeliste"/>
        <w:spacing w:before="100" w:beforeAutospacing="1" w:after="100" w:afterAutospacing="1" w:line="240" w:lineRule="auto"/>
        <w:jc w:val="both"/>
        <w:rPr>
          <w:rFonts w:eastAsia="Times New Roman" w:cstheme="minorHAnsi"/>
          <w:lang w:eastAsia="fr-FR"/>
        </w:rPr>
      </w:pPr>
    </w:p>
    <w:p w14:paraId="16E9CE6B" w14:textId="77777777" w:rsidR="00A258FD" w:rsidRPr="00A607E8" w:rsidRDefault="00A258FD" w:rsidP="00A258FD">
      <w:pPr>
        <w:pStyle w:val="Paragraphedeliste"/>
        <w:numPr>
          <w:ilvl w:val="0"/>
          <w:numId w:val="2"/>
        </w:numPr>
        <w:spacing w:before="100" w:beforeAutospacing="1" w:after="100" w:afterAutospacing="1" w:line="240" w:lineRule="auto"/>
        <w:jc w:val="both"/>
        <w:rPr>
          <w:rFonts w:eastAsia="Times New Roman" w:cstheme="minorHAnsi"/>
          <w:lang w:eastAsia="fr-FR"/>
        </w:rPr>
      </w:pPr>
      <w:r w:rsidRPr="00A607E8">
        <w:rPr>
          <w:rFonts w:eastAsia="Times New Roman" w:cstheme="minorHAnsi"/>
          <w:lang w:eastAsia="fr-FR"/>
        </w:rPr>
        <w:t xml:space="preserve">La boucle </w:t>
      </w:r>
      <w:proofErr w:type="spellStart"/>
      <w:r w:rsidRPr="00A607E8">
        <w:rPr>
          <w:rFonts w:eastAsia="Times New Roman" w:cstheme="minorHAnsi"/>
          <w:b/>
          <w:lang w:eastAsia="fr-FR"/>
        </w:rPr>
        <w:t>Tchap</w:t>
      </w:r>
      <w:proofErr w:type="spellEnd"/>
      <w:r w:rsidRPr="00A607E8">
        <w:rPr>
          <w:rFonts w:eastAsia="Times New Roman" w:cstheme="minorHAnsi"/>
          <w:lang w:eastAsia="fr-FR"/>
        </w:rPr>
        <w:t xml:space="preserve"> a pour intérêt d’être un espace de débats, dans une logique de discussion horizontale. </w:t>
      </w:r>
    </w:p>
    <w:p w14:paraId="22A09EF0" w14:textId="77777777" w:rsidR="00A258FD" w:rsidRPr="00A607E8" w:rsidRDefault="00A258FD" w:rsidP="00A258FD">
      <w:pPr>
        <w:pStyle w:val="Paragraphedeliste"/>
        <w:rPr>
          <w:rFonts w:eastAsia="Times New Roman" w:cstheme="minorHAnsi"/>
          <w:lang w:eastAsia="fr-FR"/>
        </w:rPr>
      </w:pPr>
    </w:p>
    <w:p w14:paraId="0C25B47A" w14:textId="77777777" w:rsidR="00A607E8" w:rsidRDefault="00A258FD" w:rsidP="00A607E8">
      <w:pPr>
        <w:spacing w:before="100" w:beforeAutospacing="1" w:after="100" w:afterAutospacing="1" w:line="240" w:lineRule="auto"/>
        <w:jc w:val="both"/>
        <w:rPr>
          <w:rFonts w:eastAsia="Times New Roman" w:cstheme="minorHAnsi"/>
          <w:i/>
          <w:lang w:eastAsia="fr-FR"/>
        </w:rPr>
      </w:pPr>
      <w:r w:rsidRPr="00A607E8">
        <w:rPr>
          <w:rFonts w:eastAsia="Times New Roman" w:cstheme="minorHAnsi"/>
          <w:i/>
          <w:lang w:eastAsia="fr-FR"/>
        </w:rPr>
        <w:t xml:space="preserve">En complément à la réunion de vendredi, la DMAT a apporté des précisions : </w:t>
      </w:r>
    </w:p>
    <w:p w14:paraId="5D8FA762" w14:textId="3433A29E" w:rsidR="00A258FD" w:rsidRPr="00A607E8" w:rsidRDefault="00A258FD" w:rsidP="00A607E8">
      <w:pPr>
        <w:spacing w:before="100" w:beforeAutospacing="1" w:after="100" w:afterAutospacing="1" w:line="240" w:lineRule="auto"/>
        <w:jc w:val="both"/>
        <w:rPr>
          <w:rFonts w:eastAsia="Times New Roman" w:cstheme="minorHAnsi"/>
          <w:i/>
          <w:lang w:eastAsia="fr-FR"/>
        </w:rPr>
      </w:pPr>
      <w:r w:rsidRPr="00A607E8">
        <w:rPr>
          <w:rFonts w:eastAsia="Times New Roman" w:cstheme="minorHAnsi"/>
          <w:i/>
          <w:iCs/>
          <w:lang w:eastAsia="fr-FR"/>
        </w:rPr>
        <w:br/>
        <w:t xml:space="preserve">1. Sujets </w:t>
      </w:r>
      <w:r w:rsidRPr="00A607E8">
        <w:rPr>
          <w:rFonts w:eastAsia="Times New Roman" w:cstheme="minorHAnsi"/>
          <w:b/>
          <w:i/>
          <w:iCs/>
          <w:lang w:eastAsia="fr-FR"/>
        </w:rPr>
        <w:t>étrangers</w:t>
      </w:r>
      <w:r w:rsidRPr="00A607E8">
        <w:rPr>
          <w:rFonts w:eastAsia="Times New Roman" w:cstheme="minorHAnsi"/>
          <w:i/>
          <w:iCs/>
          <w:lang w:eastAsia="fr-FR"/>
        </w:rPr>
        <w:t xml:space="preserve"> :</w:t>
      </w:r>
    </w:p>
    <w:p w14:paraId="6B154167" w14:textId="77777777" w:rsidR="00A258FD" w:rsidRPr="00A607E8" w:rsidRDefault="00A258FD" w:rsidP="00A258FD">
      <w:pPr>
        <w:spacing w:after="0" w:line="240" w:lineRule="auto"/>
        <w:jc w:val="both"/>
        <w:rPr>
          <w:rFonts w:eastAsia="Times New Roman" w:cstheme="minorHAnsi"/>
          <w:i/>
          <w:iCs/>
          <w:lang w:eastAsia="fr-FR"/>
        </w:rPr>
      </w:pPr>
      <w:r w:rsidRPr="00A607E8">
        <w:rPr>
          <w:rFonts w:eastAsia="Times New Roman" w:cstheme="minorHAnsi"/>
          <w:i/>
          <w:iCs/>
          <w:lang w:eastAsia="fr-FR"/>
        </w:rPr>
        <w:br/>
        <w:t>1.1. Sur les problèmes que poserait la prolongation automatique des titres de séjours et la charge qui en résulterait à expiration pour les services, le point a été fait avec la DGEF, qui nous dit que :</w:t>
      </w:r>
    </w:p>
    <w:p w14:paraId="297AEE5A" w14:textId="77777777" w:rsidR="00A258FD" w:rsidRPr="00A607E8" w:rsidRDefault="00A258FD" w:rsidP="00A258FD">
      <w:pPr>
        <w:spacing w:after="0" w:line="240" w:lineRule="auto"/>
        <w:jc w:val="both"/>
        <w:rPr>
          <w:rFonts w:eastAsia="Times New Roman" w:cstheme="minorHAnsi"/>
          <w:i/>
          <w:iCs/>
          <w:lang w:eastAsia="fr-FR"/>
        </w:rPr>
      </w:pPr>
      <w:r w:rsidRPr="00A607E8">
        <w:rPr>
          <w:rFonts w:eastAsia="Times New Roman" w:cstheme="minorHAnsi"/>
          <w:i/>
          <w:iCs/>
          <w:lang w:eastAsia="fr-FR"/>
        </w:rPr>
        <w:br/>
        <w:t>- a priori, aucune inquiétude ne leur est remontée des préfectures à ce sujet, la prolongation des titres ayant, au contraire, été saluée positivement.</w:t>
      </w:r>
    </w:p>
    <w:p w14:paraId="6C16B5C1" w14:textId="77777777" w:rsidR="00A258FD" w:rsidRPr="00A607E8" w:rsidRDefault="00A258FD" w:rsidP="00A258FD">
      <w:pPr>
        <w:spacing w:after="0" w:line="240" w:lineRule="auto"/>
        <w:jc w:val="both"/>
        <w:rPr>
          <w:rFonts w:eastAsia="Times New Roman" w:cstheme="minorHAnsi"/>
          <w:i/>
          <w:iCs/>
          <w:lang w:eastAsia="fr-FR"/>
        </w:rPr>
      </w:pPr>
      <w:r w:rsidRPr="00A607E8">
        <w:rPr>
          <w:rFonts w:eastAsia="Times New Roman" w:cstheme="minorHAnsi"/>
          <w:i/>
          <w:iCs/>
          <w:lang w:eastAsia="fr-FR"/>
        </w:rPr>
        <w:lastRenderedPageBreak/>
        <w:br/>
        <w:t>- ensuite, il va y avoir certainement un afflux aux guichets; mais la DGEF et la DMAT travaillent d'ores et déjà à anticiper ce retour à la normale en regardant comment établir une priorisation des publics ; le guide du séjour qui a été diffusé en décembre dernier pourrait trouver à pleinement être utilisé pour définir les priorités ; enfin, la DGEF travaille, bien sûr, à l'affectation de moyens de renforts en vacataires en nombre suffisant pour épauler les titulaires.</w:t>
      </w:r>
    </w:p>
    <w:p w14:paraId="3E479CC2" w14:textId="19673A79" w:rsidR="00A258FD" w:rsidRPr="00A607E8" w:rsidRDefault="00A258FD" w:rsidP="00A258FD">
      <w:pPr>
        <w:spacing w:after="0" w:line="240" w:lineRule="auto"/>
        <w:jc w:val="both"/>
        <w:rPr>
          <w:rFonts w:eastAsia="Times New Roman" w:cstheme="minorHAnsi"/>
          <w:i/>
          <w:iCs/>
          <w:lang w:eastAsia="fr-FR"/>
        </w:rPr>
      </w:pPr>
      <w:r w:rsidRPr="00A607E8">
        <w:rPr>
          <w:rFonts w:eastAsia="Times New Roman" w:cstheme="minorHAnsi"/>
          <w:i/>
          <w:iCs/>
          <w:lang w:eastAsia="fr-FR"/>
        </w:rPr>
        <w:br/>
        <w:t xml:space="preserve">1.2. S'agissant des instructions données sur les dossiers d'accès à la nationalité, là aussi la DGEF nous fait le retour suivant : dans un premier temps, il a été demandé aux préfectures de prioriser le traitement des dossiers pour lesquels l'écoulement des délais risquait d'aboutir à ce que la nationalité soit conférée à des personnes pour qui ce n'était pas souhaitable, ce qui peut être le cas dans des dossiers de déclaration-mariage où le récépissé a été délivré et où l'administration a un an à compter du récépissé pour procéder à l'enregistrement. Ensuite, la mise en </w:t>
      </w:r>
      <w:r w:rsidR="00A607E8" w:rsidRPr="00A607E8">
        <w:rPr>
          <w:rFonts w:eastAsia="Times New Roman" w:cstheme="minorHAnsi"/>
          <w:i/>
          <w:iCs/>
          <w:lang w:eastAsia="fr-FR"/>
        </w:rPr>
        <w:t>œuvre</w:t>
      </w:r>
      <w:r w:rsidRPr="00A607E8">
        <w:rPr>
          <w:rFonts w:eastAsia="Times New Roman" w:cstheme="minorHAnsi"/>
          <w:i/>
          <w:iCs/>
          <w:lang w:eastAsia="fr-FR"/>
        </w:rPr>
        <w:t xml:space="preserve"> de la fin de la tenue des entretiens fait qu'à la reprise de l'activité, ces dossiers devront être traités en priorité, sauf à s'exposer au risque de voir des personnes ne remplissant pas les conditions d'assimilation, accéder à la nationalité.</w:t>
      </w:r>
    </w:p>
    <w:p w14:paraId="5C558AD4" w14:textId="771F3EFE" w:rsidR="00A258FD" w:rsidRPr="00A607E8" w:rsidRDefault="00A258FD" w:rsidP="00A258FD">
      <w:pPr>
        <w:spacing w:after="0" w:line="240" w:lineRule="auto"/>
        <w:jc w:val="both"/>
        <w:rPr>
          <w:rFonts w:eastAsia="Times New Roman" w:cstheme="minorHAnsi"/>
          <w:i/>
          <w:iCs/>
          <w:lang w:eastAsia="fr-FR"/>
        </w:rPr>
      </w:pPr>
      <w:r w:rsidRPr="00A607E8">
        <w:rPr>
          <w:rFonts w:eastAsia="Times New Roman" w:cstheme="minorHAnsi"/>
          <w:i/>
          <w:iCs/>
          <w:lang w:eastAsia="fr-FR"/>
        </w:rPr>
        <w:br/>
        <w:t xml:space="preserve">2. Sujet </w:t>
      </w:r>
      <w:r w:rsidRPr="00A607E8">
        <w:rPr>
          <w:rFonts w:eastAsia="Times New Roman" w:cstheme="minorHAnsi"/>
          <w:b/>
          <w:i/>
          <w:iCs/>
          <w:lang w:eastAsia="fr-FR"/>
        </w:rPr>
        <w:t>SIC</w:t>
      </w:r>
      <w:r w:rsidRPr="00A607E8">
        <w:rPr>
          <w:rFonts w:eastAsia="Times New Roman" w:cstheme="minorHAnsi"/>
          <w:i/>
          <w:iCs/>
          <w:lang w:eastAsia="fr-FR"/>
        </w:rPr>
        <w:t xml:space="preserve"> :</w:t>
      </w:r>
    </w:p>
    <w:p w14:paraId="58BBC460" w14:textId="2D933A02" w:rsidR="00A258FD" w:rsidRPr="00A607E8" w:rsidRDefault="00A258FD" w:rsidP="00A258FD">
      <w:pPr>
        <w:spacing w:after="0" w:line="240" w:lineRule="auto"/>
        <w:jc w:val="both"/>
        <w:rPr>
          <w:rFonts w:eastAsia="Times New Roman" w:cstheme="minorHAnsi"/>
          <w:i/>
          <w:iCs/>
          <w:lang w:eastAsia="fr-FR"/>
        </w:rPr>
      </w:pPr>
      <w:r w:rsidRPr="00A607E8">
        <w:rPr>
          <w:rFonts w:eastAsia="Times New Roman" w:cstheme="minorHAnsi"/>
          <w:i/>
          <w:iCs/>
          <w:lang w:eastAsia="fr-FR"/>
        </w:rPr>
        <w:br/>
        <w:t xml:space="preserve">Pour éviter que les messageries saturent, une solution peut en effet consister à faire repasser les agents au travail pour vider leur BAL. </w:t>
      </w:r>
    </w:p>
    <w:p w14:paraId="36697D27" w14:textId="16FC42C7" w:rsidR="00A258FD" w:rsidRPr="00A607E8" w:rsidRDefault="00A258FD" w:rsidP="00A258FD">
      <w:pPr>
        <w:spacing w:after="0" w:line="240" w:lineRule="auto"/>
        <w:jc w:val="both"/>
        <w:rPr>
          <w:rFonts w:eastAsia="Times New Roman" w:cstheme="minorHAnsi"/>
          <w:i/>
          <w:lang w:eastAsia="fr-FR"/>
        </w:rPr>
      </w:pPr>
      <w:r w:rsidRPr="00A607E8">
        <w:rPr>
          <w:rFonts w:eastAsia="Times New Roman" w:cstheme="minorHAnsi"/>
          <w:i/>
          <w:iCs/>
          <w:lang w:eastAsia="fr-FR"/>
        </w:rPr>
        <w:br/>
        <w:t>Mais ce n'est clairement pas une consigne nationale. Car la DNUM a justement mis en place, dès fin mars, une nouvelle fonction d'archivage dans l'interface NOMADE2 qui permet d'archiver ses mails (et les supprimer ensuite pour faire de la place) à partir de chez soi. Un guide en PJ a été publié à cette fin, pour bien expliquer l</w:t>
      </w:r>
      <w:r w:rsidR="00A607E8">
        <w:rPr>
          <w:rFonts w:eastAsia="Times New Roman" w:cstheme="minorHAnsi"/>
          <w:i/>
          <w:iCs/>
          <w:lang w:eastAsia="fr-FR"/>
        </w:rPr>
        <w:t>'archivage via Nomade2 (</w:t>
      </w:r>
      <w:proofErr w:type="spellStart"/>
      <w:r w:rsidR="00A607E8">
        <w:rPr>
          <w:rFonts w:eastAsia="Times New Roman" w:cstheme="minorHAnsi"/>
          <w:i/>
          <w:iCs/>
          <w:lang w:eastAsia="fr-FR"/>
        </w:rPr>
        <w:t>cf</w:t>
      </w:r>
      <w:proofErr w:type="spellEnd"/>
      <w:r w:rsidR="00A607E8">
        <w:rPr>
          <w:rFonts w:eastAsia="Times New Roman" w:cstheme="minorHAnsi"/>
          <w:i/>
          <w:iCs/>
          <w:lang w:eastAsia="fr-FR"/>
        </w:rPr>
        <w:t xml:space="preserve"> PJ). </w:t>
      </w:r>
      <w:r w:rsidRPr="00A607E8">
        <w:rPr>
          <w:rFonts w:eastAsia="Times New Roman" w:cstheme="minorHAnsi"/>
          <w:i/>
          <w:iCs/>
          <w:lang w:eastAsia="fr-FR"/>
        </w:rPr>
        <w:t>Les agents n'ayant pas Nomade2 devront repasser en effet. Mais autant demander un certificat d'accès Nomade2 pour éviter de retourner sur le lieu de travail.</w:t>
      </w:r>
    </w:p>
    <w:p w14:paraId="07F318B0" w14:textId="77777777" w:rsidR="00A258FD" w:rsidRPr="00A607E8" w:rsidRDefault="00A258FD" w:rsidP="00A258FD">
      <w:pPr>
        <w:spacing w:after="0" w:line="240" w:lineRule="auto"/>
        <w:jc w:val="both"/>
        <w:rPr>
          <w:rFonts w:eastAsia="Times New Roman" w:cstheme="minorHAnsi"/>
          <w:i/>
          <w:lang w:eastAsia="fr-FR"/>
        </w:rPr>
      </w:pPr>
      <w:r w:rsidRPr="00A607E8">
        <w:rPr>
          <w:rFonts w:eastAsia="Times New Roman" w:cstheme="minorHAnsi"/>
          <w:i/>
          <w:lang w:eastAsia="fr-FR"/>
        </w:rPr>
        <w:br/>
      </w:r>
    </w:p>
    <w:p w14:paraId="1406D169" w14:textId="77777777" w:rsidR="00A258FD" w:rsidRPr="00362FF6" w:rsidRDefault="00A258FD" w:rsidP="00A258FD">
      <w:pPr>
        <w:spacing w:before="100" w:beforeAutospacing="1" w:after="100" w:afterAutospacing="1" w:line="240" w:lineRule="auto"/>
        <w:jc w:val="both"/>
        <w:rPr>
          <w:rFonts w:ascii="Times New Roman" w:eastAsia="Times New Roman" w:hAnsi="Times New Roman" w:cs="Times New Roman"/>
          <w:i/>
          <w:sz w:val="24"/>
          <w:szCs w:val="24"/>
          <w:lang w:eastAsia="fr-FR"/>
        </w:rPr>
      </w:pPr>
    </w:p>
    <w:p w14:paraId="2189DCDC" w14:textId="77777777" w:rsidR="00A258FD" w:rsidRPr="00EE2081" w:rsidRDefault="00A258FD" w:rsidP="00EE2081">
      <w:pPr>
        <w:jc w:val="both"/>
        <w:rPr>
          <w:rFonts w:cstheme="minorHAnsi"/>
          <w:sz w:val="20"/>
          <w:szCs w:val="24"/>
        </w:rPr>
      </w:pPr>
    </w:p>
    <w:sectPr w:rsidR="00A258FD" w:rsidRPr="00EE2081" w:rsidSect="00A85EF0">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65B12" w14:textId="77777777" w:rsidR="00EC5639" w:rsidRDefault="00EC5639" w:rsidP="00FD0216">
      <w:pPr>
        <w:spacing w:after="0" w:line="240" w:lineRule="auto"/>
      </w:pPr>
      <w:r>
        <w:separator/>
      </w:r>
    </w:p>
  </w:endnote>
  <w:endnote w:type="continuationSeparator" w:id="0">
    <w:p w14:paraId="219A0952" w14:textId="77777777" w:rsidR="00EC5639" w:rsidRDefault="00EC5639" w:rsidP="00FD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43311"/>
      <w:docPartObj>
        <w:docPartGallery w:val="Page Numbers (Bottom of Page)"/>
        <w:docPartUnique/>
      </w:docPartObj>
    </w:sdtPr>
    <w:sdtEndPr/>
    <w:sdtContent>
      <w:p w14:paraId="2A22F6B1" w14:textId="6A0A28EB" w:rsidR="00836505" w:rsidRDefault="00836505">
        <w:pPr>
          <w:pStyle w:val="Pieddepage"/>
          <w:jc w:val="right"/>
        </w:pPr>
        <w:r>
          <w:fldChar w:fldCharType="begin"/>
        </w:r>
        <w:r>
          <w:instrText>PAGE   \* MERGEFORMAT</w:instrText>
        </w:r>
        <w:r>
          <w:fldChar w:fldCharType="separate"/>
        </w:r>
        <w:r w:rsidR="006A398C">
          <w:rPr>
            <w:noProof/>
          </w:rPr>
          <w:t>4</w:t>
        </w:r>
        <w:r>
          <w:fldChar w:fldCharType="end"/>
        </w:r>
      </w:p>
    </w:sdtContent>
  </w:sdt>
  <w:p w14:paraId="10B3DF24" w14:textId="77777777" w:rsidR="00836505" w:rsidRDefault="008365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67712"/>
      <w:docPartObj>
        <w:docPartGallery w:val="Page Numbers (Bottom of Page)"/>
        <w:docPartUnique/>
      </w:docPartObj>
    </w:sdtPr>
    <w:sdtEndPr/>
    <w:sdtContent>
      <w:p w14:paraId="276D47F0" w14:textId="038BE1D1" w:rsidR="00FC79B9" w:rsidRDefault="00FC79B9">
        <w:pPr>
          <w:pStyle w:val="Pieddepage"/>
          <w:jc w:val="right"/>
        </w:pPr>
        <w:r>
          <w:fldChar w:fldCharType="begin"/>
        </w:r>
        <w:r>
          <w:instrText>PAGE   \* MERGEFORMAT</w:instrText>
        </w:r>
        <w:r>
          <w:fldChar w:fldCharType="separate"/>
        </w:r>
        <w:r w:rsidR="006A398C">
          <w:rPr>
            <w:noProof/>
          </w:rPr>
          <w:t>1</w:t>
        </w:r>
        <w:r>
          <w:fldChar w:fldCharType="end"/>
        </w:r>
      </w:p>
    </w:sdtContent>
  </w:sdt>
  <w:p w14:paraId="27184C27" w14:textId="77777777" w:rsidR="00FC79B9" w:rsidRDefault="00FC79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53486" w14:textId="77777777" w:rsidR="00EC5639" w:rsidRDefault="00EC5639" w:rsidP="00FD0216">
      <w:pPr>
        <w:spacing w:after="0" w:line="240" w:lineRule="auto"/>
      </w:pPr>
      <w:r>
        <w:separator/>
      </w:r>
    </w:p>
  </w:footnote>
  <w:footnote w:type="continuationSeparator" w:id="0">
    <w:p w14:paraId="390A749C" w14:textId="77777777" w:rsidR="00EC5639" w:rsidRDefault="00EC5639" w:rsidP="00FD0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FE9" w14:textId="092EEA19" w:rsidR="0024234C" w:rsidRDefault="0024234C">
    <w:pPr>
      <w:pStyle w:val="En-tte"/>
    </w:pPr>
    <w:r>
      <w:rPr>
        <w:noProof/>
        <w:lang w:eastAsia="fr-FR"/>
      </w:rPr>
      <w:drawing>
        <wp:inline distT="0" distB="0" distL="0" distR="0" wp14:anchorId="67D76EF0" wp14:editId="4EC7CD52">
          <wp:extent cx="1310640" cy="9144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914400"/>
                  </a:xfrm>
                  <a:prstGeom prst="rect">
                    <a:avLst/>
                  </a:prstGeom>
                  <a:noFill/>
                </pic:spPr>
              </pic:pic>
            </a:graphicData>
          </a:graphic>
        </wp:inline>
      </w:drawing>
    </w:r>
  </w:p>
  <w:p w14:paraId="3B18670D" w14:textId="20662B72" w:rsidR="00A85EF0" w:rsidRDefault="00A85E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2EB7"/>
    <w:multiLevelType w:val="hybridMultilevel"/>
    <w:tmpl w:val="D9A2A4B4"/>
    <w:lvl w:ilvl="0" w:tplc="3D30ADB8">
      <w:start w:val="6"/>
      <w:numFmt w:val="bullet"/>
      <w:lvlText w:val="-"/>
      <w:lvlJc w:val="left"/>
      <w:pPr>
        <w:ind w:left="410" w:hanging="360"/>
      </w:pPr>
      <w:rPr>
        <w:rFonts w:ascii="Calibri" w:eastAsiaTheme="minorHAnsi" w:hAnsi="Calibri" w:cs="Calibri" w:hint="default"/>
      </w:rPr>
    </w:lvl>
    <w:lvl w:ilvl="1" w:tplc="3AAEB690">
      <w:numFmt w:val="bullet"/>
      <w:lvlText w:val="•"/>
      <w:lvlJc w:val="left"/>
      <w:pPr>
        <w:ind w:left="1130" w:hanging="360"/>
      </w:pPr>
      <w:rPr>
        <w:rFonts w:ascii="Calibri" w:eastAsiaTheme="minorHAnsi" w:hAnsi="Calibri" w:cs="Calibri"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
    <w:nsid w:val="2AD55DB8"/>
    <w:multiLevelType w:val="hybridMultilevel"/>
    <w:tmpl w:val="57C6AEAE"/>
    <w:lvl w:ilvl="0" w:tplc="085852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184FD2"/>
    <w:multiLevelType w:val="hybridMultilevel"/>
    <w:tmpl w:val="59F8063A"/>
    <w:lvl w:ilvl="0" w:tplc="9ECEE0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24"/>
    <w:rsid w:val="000257A4"/>
    <w:rsid w:val="0003011C"/>
    <w:rsid w:val="0008143C"/>
    <w:rsid w:val="00081DE2"/>
    <w:rsid w:val="000A60F1"/>
    <w:rsid w:val="000D4CF5"/>
    <w:rsid w:val="00127615"/>
    <w:rsid w:val="0013231B"/>
    <w:rsid w:val="001B2E76"/>
    <w:rsid w:val="001C1E17"/>
    <w:rsid w:val="001C5427"/>
    <w:rsid w:val="002158B8"/>
    <w:rsid w:val="002178EE"/>
    <w:rsid w:val="00220BAD"/>
    <w:rsid w:val="0024234C"/>
    <w:rsid w:val="0025136C"/>
    <w:rsid w:val="00251AB1"/>
    <w:rsid w:val="00254FF1"/>
    <w:rsid w:val="00266A3C"/>
    <w:rsid w:val="00285C5E"/>
    <w:rsid w:val="002C72CE"/>
    <w:rsid w:val="00334DC1"/>
    <w:rsid w:val="00375B64"/>
    <w:rsid w:val="00396601"/>
    <w:rsid w:val="003A0749"/>
    <w:rsid w:val="003A3A52"/>
    <w:rsid w:val="003B5324"/>
    <w:rsid w:val="003E1C33"/>
    <w:rsid w:val="003F07EC"/>
    <w:rsid w:val="00406350"/>
    <w:rsid w:val="004B60FB"/>
    <w:rsid w:val="004D4427"/>
    <w:rsid w:val="004E19B6"/>
    <w:rsid w:val="00506DE1"/>
    <w:rsid w:val="00524FDB"/>
    <w:rsid w:val="00531888"/>
    <w:rsid w:val="0054226F"/>
    <w:rsid w:val="00591FB6"/>
    <w:rsid w:val="0059321E"/>
    <w:rsid w:val="005A1AD7"/>
    <w:rsid w:val="005B1CE0"/>
    <w:rsid w:val="005D316D"/>
    <w:rsid w:val="0064148B"/>
    <w:rsid w:val="00643924"/>
    <w:rsid w:val="0064498C"/>
    <w:rsid w:val="00696583"/>
    <w:rsid w:val="006A398C"/>
    <w:rsid w:val="006D37A7"/>
    <w:rsid w:val="006E514E"/>
    <w:rsid w:val="00720B8D"/>
    <w:rsid w:val="0072799E"/>
    <w:rsid w:val="00744E26"/>
    <w:rsid w:val="00766605"/>
    <w:rsid w:val="00785148"/>
    <w:rsid w:val="007A6FE4"/>
    <w:rsid w:val="00836505"/>
    <w:rsid w:val="00862DFF"/>
    <w:rsid w:val="00874165"/>
    <w:rsid w:val="008A42F7"/>
    <w:rsid w:val="008A5BBB"/>
    <w:rsid w:val="008C319C"/>
    <w:rsid w:val="00917970"/>
    <w:rsid w:val="00961780"/>
    <w:rsid w:val="00963E30"/>
    <w:rsid w:val="00982ED8"/>
    <w:rsid w:val="009A6416"/>
    <w:rsid w:val="009A7D97"/>
    <w:rsid w:val="009B5606"/>
    <w:rsid w:val="009D219F"/>
    <w:rsid w:val="009D79B7"/>
    <w:rsid w:val="00A06AF3"/>
    <w:rsid w:val="00A13773"/>
    <w:rsid w:val="00A258FD"/>
    <w:rsid w:val="00A279F2"/>
    <w:rsid w:val="00A43BFA"/>
    <w:rsid w:val="00A44D55"/>
    <w:rsid w:val="00A607E8"/>
    <w:rsid w:val="00A63948"/>
    <w:rsid w:val="00A83145"/>
    <w:rsid w:val="00A85EF0"/>
    <w:rsid w:val="00A92D78"/>
    <w:rsid w:val="00AB7104"/>
    <w:rsid w:val="00AF71D5"/>
    <w:rsid w:val="00B0298C"/>
    <w:rsid w:val="00B407BC"/>
    <w:rsid w:val="00B53432"/>
    <w:rsid w:val="00BA3206"/>
    <w:rsid w:val="00BC192D"/>
    <w:rsid w:val="00BE655B"/>
    <w:rsid w:val="00C332EB"/>
    <w:rsid w:val="00C45570"/>
    <w:rsid w:val="00C461D6"/>
    <w:rsid w:val="00C53B3F"/>
    <w:rsid w:val="00C64D1E"/>
    <w:rsid w:val="00C92C69"/>
    <w:rsid w:val="00CA5DD1"/>
    <w:rsid w:val="00CA705F"/>
    <w:rsid w:val="00CC7E46"/>
    <w:rsid w:val="00CF4249"/>
    <w:rsid w:val="00D15037"/>
    <w:rsid w:val="00D27AFE"/>
    <w:rsid w:val="00D51995"/>
    <w:rsid w:val="00D97CAC"/>
    <w:rsid w:val="00DA4A87"/>
    <w:rsid w:val="00DC5F29"/>
    <w:rsid w:val="00DD5D3C"/>
    <w:rsid w:val="00DF6912"/>
    <w:rsid w:val="00E04EA8"/>
    <w:rsid w:val="00E330B3"/>
    <w:rsid w:val="00E35C68"/>
    <w:rsid w:val="00E40368"/>
    <w:rsid w:val="00E45B7E"/>
    <w:rsid w:val="00EC3D41"/>
    <w:rsid w:val="00EC5639"/>
    <w:rsid w:val="00EE2081"/>
    <w:rsid w:val="00EF3EBF"/>
    <w:rsid w:val="00F045CA"/>
    <w:rsid w:val="00F428E7"/>
    <w:rsid w:val="00F51B0C"/>
    <w:rsid w:val="00F66F38"/>
    <w:rsid w:val="00F836A2"/>
    <w:rsid w:val="00FA5D22"/>
    <w:rsid w:val="00FB034B"/>
    <w:rsid w:val="00FC2EB8"/>
    <w:rsid w:val="00FC79B9"/>
    <w:rsid w:val="00FD0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8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948"/>
    <w:pPr>
      <w:ind w:left="720"/>
      <w:contextualSpacing/>
    </w:pPr>
  </w:style>
  <w:style w:type="paragraph" w:styleId="En-tte">
    <w:name w:val="header"/>
    <w:basedOn w:val="Normal"/>
    <w:link w:val="En-tteCar"/>
    <w:uiPriority w:val="99"/>
    <w:unhideWhenUsed/>
    <w:rsid w:val="00FD0216"/>
    <w:pPr>
      <w:tabs>
        <w:tab w:val="center" w:pos="4536"/>
        <w:tab w:val="right" w:pos="9072"/>
      </w:tabs>
      <w:spacing w:after="0" w:line="240" w:lineRule="auto"/>
    </w:pPr>
  </w:style>
  <w:style w:type="character" w:customStyle="1" w:styleId="En-tteCar">
    <w:name w:val="En-tête Car"/>
    <w:basedOn w:val="Policepardfaut"/>
    <w:link w:val="En-tte"/>
    <w:uiPriority w:val="99"/>
    <w:rsid w:val="00FD0216"/>
  </w:style>
  <w:style w:type="paragraph" w:styleId="Pieddepage">
    <w:name w:val="footer"/>
    <w:basedOn w:val="Normal"/>
    <w:link w:val="PieddepageCar"/>
    <w:uiPriority w:val="99"/>
    <w:unhideWhenUsed/>
    <w:rsid w:val="00FD02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216"/>
  </w:style>
  <w:style w:type="paragraph" w:styleId="Textedebulles">
    <w:name w:val="Balloon Text"/>
    <w:basedOn w:val="Normal"/>
    <w:link w:val="TextedebullesCar"/>
    <w:uiPriority w:val="99"/>
    <w:semiHidden/>
    <w:unhideWhenUsed/>
    <w:rsid w:val="001323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31B"/>
    <w:rPr>
      <w:rFonts w:ascii="Segoe UI" w:hAnsi="Segoe UI" w:cs="Segoe UI"/>
      <w:sz w:val="18"/>
      <w:szCs w:val="18"/>
    </w:rPr>
  </w:style>
  <w:style w:type="character" w:styleId="Marquedecommentaire">
    <w:name w:val="annotation reference"/>
    <w:basedOn w:val="Policepardfaut"/>
    <w:uiPriority w:val="99"/>
    <w:semiHidden/>
    <w:unhideWhenUsed/>
    <w:rsid w:val="006E514E"/>
    <w:rPr>
      <w:sz w:val="16"/>
      <w:szCs w:val="16"/>
    </w:rPr>
  </w:style>
  <w:style w:type="paragraph" w:styleId="Commentaire">
    <w:name w:val="annotation text"/>
    <w:basedOn w:val="Normal"/>
    <w:link w:val="CommentaireCar"/>
    <w:uiPriority w:val="99"/>
    <w:semiHidden/>
    <w:unhideWhenUsed/>
    <w:rsid w:val="006E514E"/>
    <w:pPr>
      <w:spacing w:line="240" w:lineRule="auto"/>
    </w:pPr>
    <w:rPr>
      <w:sz w:val="20"/>
      <w:szCs w:val="20"/>
    </w:rPr>
  </w:style>
  <w:style w:type="character" w:customStyle="1" w:styleId="CommentaireCar">
    <w:name w:val="Commentaire Car"/>
    <w:basedOn w:val="Policepardfaut"/>
    <w:link w:val="Commentaire"/>
    <w:uiPriority w:val="99"/>
    <w:semiHidden/>
    <w:rsid w:val="006E514E"/>
    <w:rPr>
      <w:sz w:val="20"/>
      <w:szCs w:val="20"/>
    </w:rPr>
  </w:style>
  <w:style w:type="paragraph" w:styleId="Objetducommentaire">
    <w:name w:val="annotation subject"/>
    <w:basedOn w:val="Commentaire"/>
    <w:next w:val="Commentaire"/>
    <w:link w:val="ObjetducommentaireCar"/>
    <w:uiPriority w:val="99"/>
    <w:semiHidden/>
    <w:unhideWhenUsed/>
    <w:rsid w:val="006E514E"/>
    <w:rPr>
      <w:b/>
      <w:bCs/>
    </w:rPr>
  </w:style>
  <w:style w:type="character" w:customStyle="1" w:styleId="ObjetducommentaireCar">
    <w:name w:val="Objet du commentaire Car"/>
    <w:basedOn w:val="CommentaireCar"/>
    <w:link w:val="Objetducommentaire"/>
    <w:uiPriority w:val="99"/>
    <w:semiHidden/>
    <w:rsid w:val="006E514E"/>
    <w:rPr>
      <w:b/>
      <w:bCs/>
      <w:sz w:val="20"/>
      <w:szCs w:val="20"/>
    </w:rPr>
  </w:style>
  <w:style w:type="table" w:styleId="Grilledutableau">
    <w:name w:val="Table Grid"/>
    <w:basedOn w:val="TableauNormal"/>
    <w:uiPriority w:val="39"/>
    <w:rsid w:val="0024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932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321E"/>
    <w:rPr>
      <w:sz w:val="20"/>
      <w:szCs w:val="20"/>
    </w:rPr>
  </w:style>
  <w:style w:type="character" w:styleId="Appelnotedebasdep">
    <w:name w:val="footnote reference"/>
    <w:basedOn w:val="Policepardfaut"/>
    <w:uiPriority w:val="99"/>
    <w:semiHidden/>
    <w:unhideWhenUsed/>
    <w:rsid w:val="005932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948"/>
    <w:pPr>
      <w:ind w:left="720"/>
      <w:contextualSpacing/>
    </w:pPr>
  </w:style>
  <w:style w:type="paragraph" w:styleId="En-tte">
    <w:name w:val="header"/>
    <w:basedOn w:val="Normal"/>
    <w:link w:val="En-tteCar"/>
    <w:uiPriority w:val="99"/>
    <w:unhideWhenUsed/>
    <w:rsid w:val="00FD0216"/>
    <w:pPr>
      <w:tabs>
        <w:tab w:val="center" w:pos="4536"/>
        <w:tab w:val="right" w:pos="9072"/>
      </w:tabs>
      <w:spacing w:after="0" w:line="240" w:lineRule="auto"/>
    </w:pPr>
  </w:style>
  <w:style w:type="character" w:customStyle="1" w:styleId="En-tteCar">
    <w:name w:val="En-tête Car"/>
    <w:basedOn w:val="Policepardfaut"/>
    <w:link w:val="En-tte"/>
    <w:uiPriority w:val="99"/>
    <w:rsid w:val="00FD0216"/>
  </w:style>
  <w:style w:type="paragraph" w:styleId="Pieddepage">
    <w:name w:val="footer"/>
    <w:basedOn w:val="Normal"/>
    <w:link w:val="PieddepageCar"/>
    <w:uiPriority w:val="99"/>
    <w:unhideWhenUsed/>
    <w:rsid w:val="00FD02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216"/>
  </w:style>
  <w:style w:type="paragraph" w:styleId="Textedebulles">
    <w:name w:val="Balloon Text"/>
    <w:basedOn w:val="Normal"/>
    <w:link w:val="TextedebullesCar"/>
    <w:uiPriority w:val="99"/>
    <w:semiHidden/>
    <w:unhideWhenUsed/>
    <w:rsid w:val="001323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31B"/>
    <w:rPr>
      <w:rFonts w:ascii="Segoe UI" w:hAnsi="Segoe UI" w:cs="Segoe UI"/>
      <w:sz w:val="18"/>
      <w:szCs w:val="18"/>
    </w:rPr>
  </w:style>
  <w:style w:type="character" w:styleId="Marquedecommentaire">
    <w:name w:val="annotation reference"/>
    <w:basedOn w:val="Policepardfaut"/>
    <w:uiPriority w:val="99"/>
    <w:semiHidden/>
    <w:unhideWhenUsed/>
    <w:rsid w:val="006E514E"/>
    <w:rPr>
      <w:sz w:val="16"/>
      <w:szCs w:val="16"/>
    </w:rPr>
  </w:style>
  <w:style w:type="paragraph" w:styleId="Commentaire">
    <w:name w:val="annotation text"/>
    <w:basedOn w:val="Normal"/>
    <w:link w:val="CommentaireCar"/>
    <w:uiPriority w:val="99"/>
    <w:semiHidden/>
    <w:unhideWhenUsed/>
    <w:rsid w:val="006E514E"/>
    <w:pPr>
      <w:spacing w:line="240" w:lineRule="auto"/>
    </w:pPr>
    <w:rPr>
      <w:sz w:val="20"/>
      <w:szCs w:val="20"/>
    </w:rPr>
  </w:style>
  <w:style w:type="character" w:customStyle="1" w:styleId="CommentaireCar">
    <w:name w:val="Commentaire Car"/>
    <w:basedOn w:val="Policepardfaut"/>
    <w:link w:val="Commentaire"/>
    <w:uiPriority w:val="99"/>
    <w:semiHidden/>
    <w:rsid w:val="006E514E"/>
    <w:rPr>
      <w:sz w:val="20"/>
      <w:szCs w:val="20"/>
    </w:rPr>
  </w:style>
  <w:style w:type="paragraph" w:styleId="Objetducommentaire">
    <w:name w:val="annotation subject"/>
    <w:basedOn w:val="Commentaire"/>
    <w:next w:val="Commentaire"/>
    <w:link w:val="ObjetducommentaireCar"/>
    <w:uiPriority w:val="99"/>
    <w:semiHidden/>
    <w:unhideWhenUsed/>
    <w:rsid w:val="006E514E"/>
    <w:rPr>
      <w:b/>
      <w:bCs/>
    </w:rPr>
  </w:style>
  <w:style w:type="character" w:customStyle="1" w:styleId="ObjetducommentaireCar">
    <w:name w:val="Objet du commentaire Car"/>
    <w:basedOn w:val="CommentaireCar"/>
    <w:link w:val="Objetducommentaire"/>
    <w:uiPriority w:val="99"/>
    <w:semiHidden/>
    <w:rsid w:val="006E514E"/>
    <w:rPr>
      <w:b/>
      <w:bCs/>
      <w:sz w:val="20"/>
      <w:szCs w:val="20"/>
    </w:rPr>
  </w:style>
  <w:style w:type="table" w:styleId="Grilledutableau">
    <w:name w:val="Table Grid"/>
    <w:basedOn w:val="TableauNormal"/>
    <w:uiPriority w:val="39"/>
    <w:rsid w:val="00242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932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321E"/>
    <w:rPr>
      <w:sz w:val="20"/>
      <w:szCs w:val="20"/>
    </w:rPr>
  </w:style>
  <w:style w:type="character" w:styleId="Appelnotedebasdep">
    <w:name w:val="footnote reference"/>
    <w:basedOn w:val="Policepardfaut"/>
    <w:uiPriority w:val="99"/>
    <w:semiHidden/>
    <w:unhideWhenUsed/>
    <w:rsid w:val="00593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4EBF-B360-4388-A1C2-74F2B4B9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9177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BROSSEAU Anne</dc:creator>
  <cp:lastModifiedBy>SAPACMI</cp:lastModifiedBy>
  <cp:revision>2</cp:revision>
  <dcterms:created xsi:type="dcterms:W3CDTF">2020-04-24T11:36:00Z</dcterms:created>
  <dcterms:modified xsi:type="dcterms:W3CDTF">2020-04-24T11:36:00Z</dcterms:modified>
</cp:coreProperties>
</file>